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3C730" w14:textId="77777777" w:rsidR="00BE2DD5" w:rsidRPr="00A23E20" w:rsidRDefault="00BE2DD5" w:rsidP="00BE2DD5">
      <w:pPr>
        <w:pStyle w:val="Ttulo"/>
        <w:keepNext w:val="0"/>
        <w:keepLines w:val="0"/>
        <w:spacing w:before="320" w:after="0" w:line="240" w:lineRule="auto"/>
        <w:rPr>
          <w:rFonts w:ascii="Proxima Nova" w:eastAsia="Proxima Nova" w:hAnsi="Proxima Nova" w:cs="Proxima Nova"/>
          <w:b/>
          <w:color w:val="4A86E8"/>
          <w:sz w:val="58"/>
          <w:szCs w:val="58"/>
          <w:lang w:val="pt-BR"/>
        </w:rPr>
      </w:pPr>
      <w:bookmarkStart w:id="0" w:name="_af80tl7prv5v" w:colFirst="0" w:colLast="0"/>
      <w:bookmarkEnd w:id="0"/>
      <w:r w:rsidRPr="00A23E20">
        <w:rPr>
          <w:rFonts w:ascii="Google Sans" w:eastAsia="Google Sans" w:hAnsi="Google Sans" w:cs="Google Sans"/>
          <w:b/>
          <w:color w:val="4A86E8"/>
          <w:sz w:val="58"/>
          <w:szCs w:val="58"/>
          <w:lang w:val="pt-BR"/>
        </w:rPr>
        <w:t>Relatório de Avaliação de Vulnerabilidade</w:t>
      </w:r>
    </w:p>
    <w:p w14:paraId="63A66F1D" w14:textId="6DFB1639" w:rsidR="00D20822" w:rsidRPr="00A23E20" w:rsidRDefault="00000000">
      <w:pPr>
        <w:pStyle w:val="Subttulo"/>
        <w:keepNext w:val="0"/>
        <w:keepLines w:val="0"/>
        <w:spacing w:after="0" w:line="240" w:lineRule="auto"/>
        <w:rPr>
          <w:rFonts w:ascii="Google Sans" w:eastAsia="Google Sans" w:hAnsi="Google Sans" w:cs="Google Sans"/>
          <w:b/>
          <w:sz w:val="28"/>
          <w:szCs w:val="28"/>
          <w:lang w:val="pt-BR"/>
        </w:rPr>
      </w:pPr>
      <w:r w:rsidRPr="00A23E20">
        <w:rPr>
          <w:rFonts w:ascii="Google Sans" w:eastAsia="Google Sans" w:hAnsi="Google Sans" w:cs="Google Sans"/>
          <w:b/>
          <w:sz w:val="28"/>
          <w:szCs w:val="28"/>
          <w:lang w:val="pt-BR"/>
        </w:rPr>
        <w:t>1</w:t>
      </w:r>
      <w:r w:rsidRPr="00A23E20">
        <w:rPr>
          <w:rFonts w:ascii="Google Sans" w:eastAsia="Google Sans" w:hAnsi="Google Sans" w:cs="Google Sans"/>
          <w:b/>
          <w:sz w:val="28"/>
          <w:szCs w:val="28"/>
          <w:vertAlign w:val="superscript"/>
          <w:lang w:val="pt-BR"/>
        </w:rPr>
        <w:t>st</w:t>
      </w:r>
      <w:r w:rsidRPr="00A23E20">
        <w:rPr>
          <w:rFonts w:ascii="Google Sans" w:eastAsia="Google Sans" w:hAnsi="Google Sans" w:cs="Google Sans"/>
          <w:b/>
          <w:sz w:val="28"/>
          <w:szCs w:val="28"/>
          <w:lang w:val="pt-BR"/>
        </w:rPr>
        <w:t xml:space="preserve"> </w:t>
      </w:r>
      <w:r w:rsidR="00DD2410">
        <w:rPr>
          <w:rFonts w:ascii="Google Sans" w:eastAsia="Google Sans" w:hAnsi="Google Sans" w:cs="Google Sans"/>
          <w:b/>
          <w:sz w:val="28"/>
          <w:szCs w:val="28"/>
          <w:lang w:val="pt-BR"/>
        </w:rPr>
        <w:t xml:space="preserve">de </w:t>
      </w:r>
      <w:proofErr w:type="gramStart"/>
      <w:r w:rsidR="00DD2410">
        <w:rPr>
          <w:rFonts w:ascii="Google Sans" w:eastAsia="Google Sans" w:hAnsi="Google Sans" w:cs="Google Sans"/>
          <w:b/>
          <w:sz w:val="28"/>
          <w:szCs w:val="28"/>
          <w:lang w:val="pt-BR"/>
        </w:rPr>
        <w:t>Janeiro</w:t>
      </w:r>
      <w:proofErr w:type="gramEnd"/>
      <w:r w:rsidRPr="00A23E20">
        <w:rPr>
          <w:rFonts w:ascii="Google Sans" w:eastAsia="Google Sans" w:hAnsi="Google Sans" w:cs="Google Sans"/>
          <w:b/>
          <w:sz w:val="28"/>
          <w:szCs w:val="28"/>
          <w:lang w:val="pt-BR"/>
        </w:rPr>
        <w:t xml:space="preserve"> 20</w:t>
      </w:r>
      <w:r w:rsidR="00DD2410">
        <w:rPr>
          <w:rFonts w:ascii="Google Sans" w:eastAsia="Google Sans" w:hAnsi="Google Sans" w:cs="Google Sans"/>
          <w:b/>
          <w:sz w:val="28"/>
          <w:szCs w:val="28"/>
          <w:lang w:val="pt-BR"/>
        </w:rPr>
        <w:t>25</w:t>
      </w:r>
    </w:p>
    <w:p w14:paraId="03019B8F" w14:textId="77777777" w:rsidR="00D20822" w:rsidRDefault="00000000">
      <w:pPr>
        <w:pStyle w:val="Subttulo"/>
        <w:keepNext w:val="0"/>
        <w:keepLines w:val="0"/>
        <w:spacing w:after="0" w:line="240" w:lineRule="auto"/>
        <w:rPr>
          <w:rFonts w:ascii="Google Sans" w:eastAsia="Google Sans" w:hAnsi="Google Sans" w:cs="Google Sans"/>
          <w:b/>
          <w:sz w:val="28"/>
          <w:szCs w:val="28"/>
        </w:rPr>
      </w:pPr>
      <w:bookmarkStart w:id="1" w:name="_nhcy8rpxthcf" w:colFirst="0" w:colLast="0"/>
      <w:bookmarkEnd w:id="1"/>
      <w:r>
        <w:pict w14:anchorId="1368263F">
          <v:rect id="_x0000_i1025" style="width:0;height:1.5pt" o:hralign="center" o:hrstd="t" o:hr="t" fillcolor="#a0a0a0" stroked="f"/>
        </w:pict>
      </w:r>
    </w:p>
    <w:p w14:paraId="6FB95F44" w14:textId="2F370A6D" w:rsidR="00D20822" w:rsidRPr="00E12823" w:rsidRDefault="00E12823">
      <w:pPr>
        <w:pStyle w:val="Ttulo1"/>
        <w:keepNext w:val="0"/>
        <w:keepLines w:val="0"/>
        <w:spacing w:before="480" w:after="0" w:line="240" w:lineRule="auto"/>
        <w:rPr>
          <w:rFonts w:ascii="Proxima Nova" w:eastAsia="Proxima Nova" w:hAnsi="Proxima Nova" w:cs="Proxima Nova"/>
          <w:b/>
          <w:color w:val="353744"/>
          <w:sz w:val="28"/>
          <w:szCs w:val="28"/>
          <w:lang w:val="pt-BR"/>
        </w:rPr>
      </w:pPr>
      <w:bookmarkStart w:id="2" w:name="_buc6q0k08dmn" w:colFirst="0" w:colLast="0"/>
      <w:bookmarkEnd w:id="2"/>
      <w:r w:rsidRPr="00E12823">
        <w:rPr>
          <w:rFonts w:ascii="Proxima Nova" w:eastAsia="Proxima Nova" w:hAnsi="Proxima Nova" w:cs="Proxima Nova"/>
          <w:b/>
          <w:color w:val="353744"/>
          <w:sz w:val="28"/>
          <w:szCs w:val="28"/>
          <w:lang w:val="pt-BR"/>
        </w:rPr>
        <w:t>Descrição do sistema</w:t>
      </w:r>
    </w:p>
    <w:p w14:paraId="358894E3" w14:textId="249BB76D" w:rsidR="00D20822" w:rsidRPr="00E12823" w:rsidRDefault="00E12823">
      <w:pPr>
        <w:spacing w:before="200" w:line="312" w:lineRule="auto"/>
        <w:rPr>
          <w:rFonts w:ascii="Google Sans" w:eastAsia="Google Sans" w:hAnsi="Google Sans" w:cs="Google Sans"/>
          <w:color w:val="353744"/>
          <w:lang w:val="pt-BR"/>
        </w:rPr>
      </w:pPr>
      <w:r w:rsidRPr="00E12823">
        <w:rPr>
          <w:rFonts w:ascii="Google Sans" w:eastAsia="Google Sans" w:hAnsi="Google Sans" w:cs="Google Sans"/>
          <w:color w:val="353744"/>
          <w:lang w:val="pt-BR"/>
        </w:rPr>
        <w:t>O hardware do servidor consiste em um processador de CPU poderoso e 128 GB de memória. Ele roda na versão mais recente do sistema operacional Linux e hospeda um sistema de gerenciamento de banco de dados MySQL. Ele é configurado com uma conexão de rede estável usando endereços IPv4 e interage com outros servidores na rede. As medidas de segurança incluem conexões criptografadas SSL/TLS.</w:t>
      </w:r>
    </w:p>
    <w:p w14:paraId="53C4A97F" w14:textId="246CF93A" w:rsidR="00D20822" w:rsidRPr="00E12823" w:rsidRDefault="00E12823">
      <w:pPr>
        <w:pStyle w:val="Ttulo1"/>
        <w:keepNext w:val="0"/>
        <w:keepLines w:val="0"/>
        <w:spacing w:before="480" w:after="0" w:line="240" w:lineRule="auto"/>
        <w:rPr>
          <w:rFonts w:ascii="Proxima Nova" w:eastAsia="Proxima Nova" w:hAnsi="Proxima Nova" w:cs="Proxima Nova"/>
          <w:b/>
          <w:color w:val="353744"/>
          <w:sz w:val="28"/>
          <w:szCs w:val="28"/>
          <w:lang w:val="pt-BR"/>
        </w:rPr>
      </w:pPr>
      <w:bookmarkStart w:id="3" w:name="_e64wndl8jmz1" w:colFirst="0" w:colLast="0"/>
      <w:bookmarkEnd w:id="3"/>
      <w:r w:rsidRPr="00E12823">
        <w:rPr>
          <w:rFonts w:ascii="Proxima Nova" w:eastAsia="Proxima Nova" w:hAnsi="Proxima Nova" w:cs="Proxima Nova"/>
          <w:b/>
          <w:color w:val="353744"/>
          <w:sz w:val="28"/>
          <w:szCs w:val="28"/>
          <w:lang w:val="pt-BR"/>
        </w:rPr>
        <w:t>Escopo</w:t>
      </w:r>
    </w:p>
    <w:p w14:paraId="3AA74F98" w14:textId="58A9CD37" w:rsidR="00D20822" w:rsidRPr="00E12823" w:rsidRDefault="00E12823">
      <w:pPr>
        <w:spacing w:before="200" w:line="312" w:lineRule="auto"/>
        <w:rPr>
          <w:rFonts w:ascii="Google Sans" w:eastAsia="Google Sans" w:hAnsi="Google Sans" w:cs="Google Sans"/>
          <w:color w:val="353744"/>
          <w:lang w:val="pt-BR"/>
        </w:rPr>
      </w:pPr>
      <w:r w:rsidRPr="00E12823">
        <w:rPr>
          <w:rFonts w:ascii="Google Sans" w:eastAsia="Google Sans" w:hAnsi="Google Sans" w:cs="Google Sans"/>
          <w:color w:val="353744"/>
          <w:lang w:val="pt-BR"/>
        </w:rPr>
        <w:t>O escopo desta avaliação de vulnerabilidade se relaciona aos controles de acesso atuais do sistema. A avaliação cobrirá um período de três meses, de junho de 20</w:t>
      </w:r>
      <w:r w:rsidR="00DD2410">
        <w:rPr>
          <w:rFonts w:ascii="Google Sans" w:eastAsia="Google Sans" w:hAnsi="Google Sans" w:cs="Google Sans"/>
          <w:color w:val="353744"/>
          <w:lang w:val="pt-BR"/>
        </w:rPr>
        <w:t>25</w:t>
      </w:r>
      <w:r w:rsidRPr="00E12823">
        <w:rPr>
          <w:rFonts w:ascii="Google Sans" w:eastAsia="Google Sans" w:hAnsi="Google Sans" w:cs="Google Sans"/>
          <w:color w:val="353744"/>
          <w:lang w:val="pt-BR"/>
        </w:rPr>
        <w:t xml:space="preserve"> a agosto de 20</w:t>
      </w:r>
      <w:r w:rsidR="00DD2410">
        <w:rPr>
          <w:rFonts w:ascii="Google Sans" w:eastAsia="Google Sans" w:hAnsi="Google Sans" w:cs="Google Sans"/>
          <w:color w:val="353744"/>
          <w:lang w:val="pt-BR"/>
        </w:rPr>
        <w:t>25</w:t>
      </w:r>
      <w:r w:rsidRPr="00E12823">
        <w:rPr>
          <w:rFonts w:ascii="Google Sans" w:eastAsia="Google Sans" w:hAnsi="Google Sans" w:cs="Google Sans"/>
          <w:color w:val="353744"/>
          <w:lang w:val="pt-BR"/>
        </w:rPr>
        <w:t>. O NIST SP 800-30 Rev. 1 é usado para orientar a análise de risco do sistema de informações.</w:t>
      </w:r>
    </w:p>
    <w:p w14:paraId="3FA5479F" w14:textId="4002CD71" w:rsidR="00D20822" w:rsidRDefault="00E12823">
      <w:pPr>
        <w:pStyle w:val="Ttulo1"/>
        <w:keepNext w:val="0"/>
        <w:keepLines w:val="0"/>
        <w:spacing w:before="480" w:after="0" w:line="240" w:lineRule="auto"/>
        <w:rPr>
          <w:rFonts w:ascii="Proxima Nova" w:eastAsia="Proxima Nova" w:hAnsi="Proxima Nova" w:cs="Proxima Nova"/>
          <w:b/>
          <w:color w:val="353744"/>
          <w:sz w:val="28"/>
          <w:szCs w:val="28"/>
        </w:rPr>
      </w:pPr>
      <w:bookmarkStart w:id="4" w:name="_oymnw3nlvwib" w:colFirst="0" w:colLast="0"/>
      <w:bookmarkEnd w:id="4"/>
      <w:proofErr w:type="spellStart"/>
      <w:r w:rsidRPr="00E12823">
        <w:rPr>
          <w:rFonts w:ascii="Proxima Nova" w:eastAsia="Proxima Nova" w:hAnsi="Proxima Nova" w:cs="Proxima Nova"/>
          <w:b/>
          <w:color w:val="353744"/>
          <w:sz w:val="28"/>
          <w:szCs w:val="28"/>
        </w:rPr>
        <w:t>Propósito</w:t>
      </w:r>
      <w:proofErr w:type="spellEnd"/>
    </w:p>
    <w:p w14:paraId="1BFF9E54" w14:textId="77777777" w:rsidR="00E12823" w:rsidRDefault="00E12823" w:rsidP="00E12823">
      <w:pPr>
        <w:rPr>
          <w:rFonts w:ascii="Google Sans" w:eastAsia="Google Sans" w:hAnsi="Google Sans" w:cs="Google Sans"/>
          <w:color w:val="353744"/>
          <w:lang w:val="pt-BR"/>
        </w:rPr>
      </w:pPr>
    </w:p>
    <w:p w14:paraId="6D144198" w14:textId="55449B9A" w:rsidR="002564E8" w:rsidRPr="00E12823" w:rsidRDefault="002564E8" w:rsidP="00E12823">
      <w:pPr>
        <w:rPr>
          <w:rFonts w:ascii="Google Sans" w:eastAsia="Google Sans" w:hAnsi="Google Sans" w:cs="Google Sans"/>
          <w:color w:val="353744"/>
          <w:lang w:val="pt-BR"/>
        </w:rPr>
      </w:pPr>
      <w:r w:rsidRPr="002564E8">
        <w:rPr>
          <w:rFonts w:ascii="Google Sans" w:eastAsia="Google Sans" w:hAnsi="Google Sans" w:cs="Google Sans"/>
          <w:color w:val="353744"/>
          <w:lang w:val="pt-BR"/>
        </w:rPr>
        <w:t>O servidor de banco de dados é um componente fundamental para a operação da empresa, pois armazena dados críticos, como informações de clientes, transações financeiras e dados operacionais. A proteção dessas informações é essencial para garantir a continuidade dos negócios e a confiança dos clientes. Caso o servidor seja desabilitado, haveria impactos imediatos, como a interrupção de serviços e a perda de dados, afetando não apenas as operações internas, mas também a reputação da empresa perante seus clientes e parceiros</w:t>
      </w:r>
    </w:p>
    <w:p w14:paraId="3208686C" w14:textId="79FD4FB9" w:rsidR="00D20822" w:rsidRPr="00BE2DD5" w:rsidRDefault="002564E8">
      <w:pPr>
        <w:pStyle w:val="Ttulo1"/>
        <w:keepNext w:val="0"/>
        <w:keepLines w:val="0"/>
        <w:spacing w:before="480" w:after="0" w:line="240" w:lineRule="auto"/>
        <w:rPr>
          <w:rFonts w:asciiTheme="minorHAnsi" w:eastAsia="Proxima Nova" w:hAnsiTheme="minorHAnsi" w:cs="Proxima Nova"/>
          <w:b/>
          <w:color w:val="353744"/>
          <w:sz w:val="28"/>
          <w:szCs w:val="28"/>
          <w:lang w:val="pt-BR"/>
        </w:rPr>
      </w:pPr>
      <w:bookmarkStart w:id="5" w:name="_i2ip4lwifo50" w:colFirst="0" w:colLast="0"/>
      <w:bookmarkEnd w:id="5"/>
      <w:proofErr w:type="spellStart"/>
      <w:r w:rsidRPr="002564E8">
        <w:rPr>
          <w:rFonts w:ascii="Proxima Nova" w:eastAsia="Proxima Nova" w:hAnsi="Proxima Nova" w:cs="Proxima Nova"/>
          <w:b/>
          <w:color w:val="353744"/>
          <w:sz w:val="28"/>
          <w:szCs w:val="28"/>
        </w:rPr>
        <w:t>Avaliação</w:t>
      </w:r>
      <w:proofErr w:type="spellEnd"/>
      <w:r w:rsidRPr="002564E8">
        <w:rPr>
          <w:rFonts w:ascii="Proxima Nova" w:eastAsia="Proxima Nova" w:hAnsi="Proxima Nova" w:cs="Proxima Nova"/>
          <w:b/>
          <w:color w:val="353744"/>
          <w:sz w:val="28"/>
          <w:szCs w:val="28"/>
        </w:rPr>
        <w:t xml:space="preserve"> de </w:t>
      </w:r>
      <w:proofErr w:type="spellStart"/>
      <w:r w:rsidRPr="002564E8">
        <w:rPr>
          <w:rFonts w:ascii="Proxima Nova" w:eastAsia="Proxima Nova" w:hAnsi="Proxima Nova" w:cs="Proxima Nova"/>
          <w:b/>
          <w:color w:val="353744"/>
          <w:sz w:val="28"/>
          <w:szCs w:val="28"/>
        </w:rPr>
        <w:t>risco</w:t>
      </w:r>
      <w:proofErr w:type="spellEnd"/>
    </w:p>
    <w:p w14:paraId="079AD413" w14:textId="77777777" w:rsidR="00D20822" w:rsidRDefault="00D20822">
      <w:pPr>
        <w:spacing w:line="312" w:lineRule="auto"/>
        <w:rPr>
          <w:rFonts w:ascii="Google Sans" w:eastAsia="Google Sans" w:hAnsi="Google Sans" w:cs="Google Sans"/>
          <w:color w:val="353744"/>
        </w:rPr>
      </w:pPr>
    </w:p>
    <w:tbl>
      <w:tblPr>
        <w:tblStyle w:val="a"/>
        <w:tblW w:w="93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3615"/>
        <w:gridCol w:w="1395"/>
        <w:gridCol w:w="1320"/>
        <w:gridCol w:w="1110"/>
      </w:tblGrid>
      <w:tr w:rsidR="00D20822" w14:paraId="31EDE948" w14:textId="77777777">
        <w:tc>
          <w:tcPr>
            <w:tcW w:w="18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69266" w14:textId="654B3E29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b/>
                <w:color w:val="353744"/>
              </w:rPr>
            </w:pPr>
            <w:r w:rsidRPr="002564E8">
              <w:rPr>
                <w:rFonts w:ascii="Google Sans" w:eastAsia="Google Sans" w:hAnsi="Google Sans" w:cs="Google Sans"/>
                <w:b/>
                <w:color w:val="353744"/>
              </w:rPr>
              <w:t xml:space="preserve">Fonte de </w:t>
            </w:r>
            <w:proofErr w:type="spellStart"/>
            <w:r w:rsidRPr="002564E8">
              <w:rPr>
                <w:rFonts w:ascii="Google Sans" w:eastAsia="Google Sans" w:hAnsi="Google Sans" w:cs="Google Sans"/>
                <w:b/>
                <w:color w:val="353744"/>
              </w:rPr>
              <w:t>ameaça</w:t>
            </w:r>
            <w:proofErr w:type="spellEnd"/>
          </w:p>
        </w:tc>
        <w:tc>
          <w:tcPr>
            <w:tcW w:w="361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B476B" w14:textId="3123291C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b/>
                <w:color w:val="353744"/>
              </w:rPr>
            </w:pPr>
            <w:proofErr w:type="spellStart"/>
            <w:r w:rsidRPr="002564E8">
              <w:rPr>
                <w:rFonts w:ascii="Google Sans" w:eastAsia="Google Sans" w:hAnsi="Google Sans" w:cs="Google Sans"/>
                <w:b/>
                <w:color w:val="353744"/>
              </w:rPr>
              <w:t>Evento</w:t>
            </w:r>
            <w:proofErr w:type="spellEnd"/>
            <w:r w:rsidRPr="002564E8">
              <w:rPr>
                <w:rFonts w:ascii="Google Sans" w:eastAsia="Google Sans" w:hAnsi="Google Sans" w:cs="Google Sans"/>
                <w:b/>
                <w:color w:val="353744"/>
              </w:rPr>
              <w:t xml:space="preserve"> de </w:t>
            </w:r>
            <w:proofErr w:type="spellStart"/>
            <w:r w:rsidRPr="002564E8">
              <w:rPr>
                <w:rFonts w:ascii="Google Sans" w:eastAsia="Google Sans" w:hAnsi="Google Sans" w:cs="Google Sans"/>
                <w:b/>
                <w:color w:val="353744"/>
              </w:rPr>
              <w:t>ameaça</w:t>
            </w:r>
            <w:proofErr w:type="spellEnd"/>
          </w:p>
        </w:tc>
        <w:tc>
          <w:tcPr>
            <w:tcW w:w="139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FB115" w14:textId="5F290285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b/>
                <w:color w:val="353744"/>
              </w:rPr>
            </w:pPr>
            <w:proofErr w:type="spellStart"/>
            <w:r w:rsidRPr="002564E8">
              <w:rPr>
                <w:rFonts w:ascii="Google Sans" w:eastAsia="Google Sans" w:hAnsi="Google Sans" w:cs="Google Sans"/>
                <w:b/>
                <w:color w:val="353744"/>
              </w:rPr>
              <w:t>Probabilidade</w:t>
            </w:r>
            <w:proofErr w:type="spellEnd"/>
          </w:p>
        </w:tc>
        <w:tc>
          <w:tcPr>
            <w:tcW w:w="132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94AF9" w14:textId="7BFCF7C1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b/>
                <w:color w:val="353744"/>
              </w:rPr>
            </w:pPr>
            <w:proofErr w:type="spellStart"/>
            <w:r w:rsidRPr="002564E8">
              <w:rPr>
                <w:rFonts w:ascii="Google Sans" w:eastAsia="Google Sans" w:hAnsi="Google Sans" w:cs="Google Sans"/>
                <w:b/>
                <w:color w:val="353744"/>
              </w:rPr>
              <w:t>Gravidade</w:t>
            </w:r>
            <w:proofErr w:type="spellEnd"/>
          </w:p>
        </w:tc>
        <w:tc>
          <w:tcPr>
            <w:tcW w:w="111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EBDA" w14:textId="41EFE12E" w:rsidR="00D20822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b/>
                <w:color w:val="353744"/>
              </w:rPr>
            </w:pPr>
            <w:proofErr w:type="spellStart"/>
            <w:r>
              <w:rPr>
                <w:rFonts w:ascii="Google Sans" w:eastAsia="Google Sans" w:hAnsi="Google Sans" w:cs="Google Sans"/>
                <w:b/>
                <w:color w:val="353744"/>
              </w:rPr>
              <w:t>Ris</w:t>
            </w:r>
            <w:r w:rsidR="002564E8">
              <w:rPr>
                <w:rFonts w:ascii="Google Sans" w:eastAsia="Google Sans" w:hAnsi="Google Sans" w:cs="Google Sans"/>
                <w:b/>
                <w:color w:val="353744"/>
              </w:rPr>
              <w:t>co</w:t>
            </w:r>
            <w:proofErr w:type="spellEnd"/>
          </w:p>
        </w:tc>
      </w:tr>
      <w:tr w:rsidR="00D20822" w14:paraId="21B207CF" w14:textId="77777777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35E4" w14:textId="2A77BC3D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proofErr w:type="spellStart"/>
            <w:r w:rsidRPr="00E12823">
              <w:rPr>
                <w:rFonts w:ascii="Google Sans" w:eastAsia="Google Sans" w:hAnsi="Google Sans" w:cs="Google Sans"/>
                <w:i/>
                <w:color w:val="353744"/>
              </w:rPr>
              <w:t>C</w:t>
            </w:r>
            <w:r w:rsidR="00E12823" w:rsidRPr="00E12823">
              <w:rPr>
                <w:rFonts w:ascii="Google Sans" w:eastAsia="Google Sans" w:hAnsi="Google Sans" w:cs="Google Sans"/>
                <w:i/>
                <w:color w:val="353744"/>
              </w:rPr>
              <w:t>oncorrente</w:t>
            </w:r>
            <w:r>
              <w:rPr>
                <w:rFonts w:ascii="Google Sans" w:eastAsia="Google Sans" w:hAnsi="Google Sans" w:cs="Google Sans"/>
                <w:i/>
                <w:color w:val="353744"/>
              </w:rPr>
              <w:t>s</w:t>
            </w:r>
            <w:proofErr w:type="spellEnd"/>
            <w:r>
              <w:rPr>
                <w:rFonts w:ascii="Google Sans" w:eastAsia="Google Sans" w:hAnsi="Google Sans" w:cs="Google Sans"/>
                <w:i/>
                <w:color w:val="353744"/>
              </w:rPr>
              <w:t xml:space="preserve"> / </w:t>
            </w:r>
            <w:r>
              <w:rPr>
                <w:rFonts w:ascii="Google Sans" w:eastAsia="Google Sans" w:hAnsi="Google Sans" w:cs="Google Sans"/>
                <w:i/>
                <w:color w:val="353744"/>
              </w:rPr>
              <w:lastRenderedPageBreak/>
              <w:t>hackers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F314A" w14:textId="7E886A51" w:rsidR="00D20822" w:rsidRPr="00E12823" w:rsidRDefault="00E12823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</w:pPr>
            <w:r w:rsidRPr="00E12823"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  <w:lastRenderedPageBreak/>
              <w:t xml:space="preserve">Obter informações confidenciais </w:t>
            </w:r>
            <w:r w:rsidRPr="00E12823"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  <w:lastRenderedPageBreak/>
              <w:t xml:space="preserve">por meio de </w:t>
            </w:r>
            <w:proofErr w:type="spellStart"/>
            <w:r w:rsidRPr="00E12823"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  <w:t>exfiltração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2A5F8" w14:textId="77777777" w:rsidR="00D20822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</w:rPr>
              <w:lastRenderedPageBreak/>
              <w:t>3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5FCE0" w14:textId="77777777" w:rsidR="00D20822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</w:rPr>
              <w:t>3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2F8DC" w14:textId="77777777" w:rsidR="00D20822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</w:rPr>
              <w:t>9</w:t>
            </w:r>
          </w:p>
        </w:tc>
      </w:tr>
      <w:tr w:rsidR="00D20822" w14:paraId="25F14A4D" w14:textId="77777777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25BA7" w14:textId="2B02C5BC" w:rsid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proofErr w:type="spellStart"/>
            <w:r>
              <w:rPr>
                <w:rFonts w:ascii="Google Sans" w:eastAsia="Google Sans" w:hAnsi="Google Sans" w:cs="Google Sans"/>
                <w:i/>
                <w:color w:val="353744"/>
              </w:rPr>
              <w:t>Funcionário</w:t>
            </w:r>
            <w:proofErr w:type="spellEnd"/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EC23" w14:textId="57FAE225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proofErr w:type="spellStart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>Interromper</w:t>
            </w:r>
            <w:proofErr w:type="spellEnd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 xml:space="preserve"> </w:t>
            </w:r>
            <w:proofErr w:type="spellStart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>operações</w:t>
            </w:r>
            <w:proofErr w:type="spellEnd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 xml:space="preserve"> </w:t>
            </w:r>
            <w:proofErr w:type="spellStart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>críticas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9C5B7" w14:textId="4EC27D42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</w:rPr>
              <w:t>2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2F6DC" w14:textId="164C2253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</w:rPr>
              <w:t>3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56005" w14:textId="01CD795C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</w:rPr>
              <w:t>6</w:t>
            </w:r>
          </w:p>
        </w:tc>
      </w:tr>
      <w:tr w:rsidR="00D20822" w:rsidRPr="002564E8" w14:paraId="4C4E0809" w14:textId="77777777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C4570" w14:textId="7CAE06B1" w:rsidR="00D20822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proofErr w:type="spellStart"/>
            <w:r>
              <w:rPr>
                <w:rFonts w:ascii="Google Sans" w:eastAsia="Google Sans" w:hAnsi="Google Sans" w:cs="Google Sans"/>
                <w:i/>
                <w:color w:val="353744"/>
              </w:rPr>
              <w:t>Fornecedor</w:t>
            </w:r>
            <w:proofErr w:type="spellEnd"/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0AEE2" w14:textId="601F86C2" w:rsidR="00D20822" w:rsidRP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</w:pPr>
            <w:r w:rsidRPr="002564E8"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  <w:t>Acesso não autorizado ao sistema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1DBBC" w14:textId="3481B930" w:rsidR="00D20822" w:rsidRP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  <w:t>2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787A6" w14:textId="6FAA31D0" w:rsidR="00D20822" w:rsidRP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  <w:t>2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C8AA" w14:textId="6F45EE6C" w:rsidR="00D20822" w:rsidRP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  <w:lang w:val="pt-BR"/>
              </w:rPr>
              <w:t>4</w:t>
            </w:r>
          </w:p>
        </w:tc>
      </w:tr>
      <w:tr w:rsidR="002564E8" w14:paraId="32722C2E" w14:textId="77777777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36F18" w14:textId="298E536B" w:rsid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proofErr w:type="spellStart"/>
            <w:r>
              <w:rPr>
                <w:rFonts w:ascii="Google Sans" w:eastAsia="Google Sans" w:hAnsi="Google Sans" w:cs="Google Sans"/>
                <w:i/>
                <w:color w:val="353744"/>
              </w:rPr>
              <w:t>Cliente</w:t>
            </w:r>
            <w:proofErr w:type="spellEnd"/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9A9B0" w14:textId="77AAB603" w:rsid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proofErr w:type="spellStart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>Alterar</w:t>
            </w:r>
            <w:proofErr w:type="spellEnd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>/</w:t>
            </w:r>
            <w:proofErr w:type="spellStart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>Excluir</w:t>
            </w:r>
            <w:proofErr w:type="spellEnd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 xml:space="preserve"> </w:t>
            </w:r>
            <w:proofErr w:type="spellStart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>informações</w:t>
            </w:r>
            <w:proofErr w:type="spellEnd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 xml:space="preserve"> </w:t>
            </w:r>
            <w:proofErr w:type="spellStart"/>
            <w:r w:rsidRPr="002564E8">
              <w:rPr>
                <w:rFonts w:ascii="Google Sans" w:eastAsia="Google Sans" w:hAnsi="Google Sans" w:cs="Google Sans"/>
                <w:i/>
                <w:color w:val="353744"/>
              </w:rPr>
              <w:t>críticas</w:t>
            </w:r>
            <w:proofErr w:type="spellEnd"/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F80BB" w14:textId="049BDACF" w:rsid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</w:rPr>
              <w:t>1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A5DD4" w14:textId="6A25E7C0" w:rsid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</w:rPr>
              <w:t>3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43F7" w14:textId="4B38A590" w:rsidR="002564E8" w:rsidRDefault="002564E8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i/>
                <w:color w:val="353744"/>
              </w:rPr>
            </w:pPr>
            <w:r>
              <w:rPr>
                <w:rFonts w:ascii="Google Sans" w:eastAsia="Google Sans" w:hAnsi="Google Sans" w:cs="Google Sans"/>
                <w:i/>
                <w:color w:val="353744"/>
              </w:rPr>
              <w:t>3</w:t>
            </w:r>
          </w:p>
        </w:tc>
      </w:tr>
    </w:tbl>
    <w:p w14:paraId="689718DC" w14:textId="67750A2C" w:rsidR="00D20822" w:rsidRDefault="00E12823">
      <w:pPr>
        <w:pStyle w:val="Ttulo1"/>
        <w:keepNext w:val="0"/>
        <w:keepLines w:val="0"/>
        <w:spacing w:before="480" w:after="0" w:line="240" w:lineRule="auto"/>
        <w:rPr>
          <w:rFonts w:ascii="Proxima Nova" w:eastAsia="Proxima Nova" w:hAnsi="Proxima Nova" w:cs="Proxima Nova"/>
          <w:b/>
          <w:color w:val="353744"/>
          <w:sz w:val="28"/>
          <w:szCs w:val="28"/>
        </w:rPr>
      </w:pPr>
      <w:bookmarkStart w:id="6" w:name="_a9ivkvfuz16w" w:colFirst="0" w:colLast="0"/>
      <w:bookmarkEnd w:id="6"/>
      <w:proofErr w:type="spellStart"/>
      <w:r w:rsidRPr="00E12823">
        <w:rPr>
          <w:rFonts w:ascii="Proxima Nova" w:eastAsia="Proxima Nova" w:hAnsi="Proxima Nova" w:cs="Proxima Nova"/>
          <w:b/>
          <w:color w:val="353744"/>
          <w:sz w:val="28"/>
          <w:szCs w:val="28"/>
        </w:rPr>
        <w:t>Abordagem</w:t>
      </w:r>
      <w:proofErr w:type="spellEnd"/>
    </w:p>
    <w:p w14:paraId="44CB35CD" w14:textId="77777777" w:rsidR="00864A3B" w:rsidRPr="00864A3B" w:rsidRDefault="00864A3B" w:rsidP="00864A3B"/>
    <w:p w14:paraId="3634C6BC" w14:textId="748CA220" w:rsidR="00D20822" w:rsidRPr="00E12823" w:rsidRDefault="00864A3B" w:rsidP="00864A3B">
      <w:pPr>
        <w:rPr>
          <w:rFonts w:ascii="Google Sans" w:eastAsia="Google Sans" w:hAnsi="Google Sans" w:cs="Google Sans"/>
          <w:i/>
          <w:color w:val="353744"/>
          <w:lang w:val="pt-BR"/>
        </w:rPr>
      </w:pPr>
      <w:r w:rsidRPr="00864A3B">
        <w:rPr>
          <w:rFonts w:ascii="Google Sans" w:eastAsia="Google Sans" w:hAnsi="Google Sans" w:cs="Google Sans"/>
          <w:color w:val="353744"/>
          <w:lang w:val="pt-BR"/>
        </w:rPr>
        <w:t>A avaliação de risco foi conduzida analisando as ameaças e vulnerabilidades relacionadas ao controle de acesso e à segurança do servidor de banco de dados. O foco principal foram eventos que envolvem o acesso não autorizado e a manipulação indevida de dados sensíveis. Para determinar a probabilidade de cada ameaça, levamos em conta o nível de exposição do sistema, como as permissões de acesso configuradas, e o histórico de incidentes de segurança. A gravidade dos riscos foi medida com base no impacto potencial que cada evento poderia ter nas operações diárias da empresa e na confiança dos clientes. As pontuações finais foram definidas levando em consideração tanto os aspectos técnicos do sistema quanto a gestão operacional de segurança já implementada.</w:t>
      </w:r>
    </w:p>
    <w:p w14:paraId="21B8E959" w14:textId="189B07E3" w:rsidR="00D20822" w:rsidRPr="00A23E20" w:rsidRDefault="00E12823">
      <w:pPr>
        <w:pStyle w:val="Ttulo1"/>
        <w:keepNext w:val="0"/>
        <w:keepLines w:val="0"/>
        <w:spacing w:before="480" w:after="0" w:line="240" w:lineRule="auto"/>
        <w:rPr>
          <w:rFonts w:ascii="Proxima Nova" w:eastAsia="Proxima Nova" w:hAnsi="Proxima Nova" w:cs="Proxima Nova"/>
          <w:b/>
          <w:color w:val="353744"/>
          <w:sz w:val="28"/>
          <w:szCs w:val="28"/>
          <w:lang w:val="pt-BR"/>
        </w:rPr>
      </w:pPr>
      <w:bookmarkStart w:id="7" w:name="_vf6vykh0xvv7" w:colFirst="0" w:colLast="0"/>
      <w:bookmarkEnd w:id="7"/>
      <w:r w:rsidRPr="00A23E20">
        <w:rPr>
          <w:rFonts w:ascii="Proxima Nova" w:eastAsia="Proxima Nova" w:hAnsi="Proxima Nova" w:cs="Proxima Nova"/>
          <w:b/>
          <w:color w:val="353744"/>
          <w:sz w:val="28"/>
          <w:szCs w:val="28"/>
          <w:lang w:val="pt-BR"/>
        </w:rPr>
        <w:t>Estratégia de Remediação</w:t>
      </w:r>
    </w:p>
    <w:p w14:paraId="77D143CA" w14:textId="77777777" w:rsidR="00DD2410" w:rsidRDefault="00DD2410" w:rsidP="00DD2410">
      <w:pPr>
        <w:rPr>
          <w:rFonts w:ascii="Google Sans" w:eastAsia="Google Sans" w:hAnsi="Google Sans" w:cs="Google Sans"/>
          <w:color w:val="353744"/>
          <w:lang w:val="pt-BR"/>
        </w:rPr>
      </w:pPr>
    </w:p>
    <w:p w14:paraId="02240AF5" w14:textId="28239329" w:rsidR="00D20822" w:rsidRPr="00A23E20" w:rsidRDefault="00DD2410" w:rsidP="00DD2410">
      <w:pPr>
        <w:rPr>
          <w:rFonts w:ascii="Google Sans" w:eastAsia="Google Sans" w:hAnsi="Google Sans" w:cs="Google Sans"/>
          <w:i/>
          <w:color w:val="353744"/>
          <w:lang w:val="pt-BR"/>
        </w:rPr>
      </w:pPr>
      <w:r w:rsidRPr="00DD2410">
        <w:rPr>
          <w:rFonts w:ascii="Google Sans" w:eastAsia="Google Sans" w:hAnsi="Google Sans" w:cs="Google Sans"/>
          <w:color w:val="353744"/>
          <w:lang w:val="pt-BR"/>
        </w:rPr>
        <w:t xml:space="preserve">Para reduzir os riscos identificados, recomendamos a implementação de medidas que reforçam a segurança do sistema. Isso inclui a adoção de autenticação multifatorial (MFA) e controle de acesso baseado em funções (RBAC), garantindo que apenas usuários autorizados tenham acesso ao banco de dados, com permissões restritas de acordo com suas responsabilidades. Além disso, é fundamental revisar periodicamente as permissões de acesso, sempre seguindo o princípio do menor privilégio. A criptografia de dados em trânsito deve ser feita utilizando TLS em vez de SSL, garantindo maior segurança nas comunicações. Para limitar ainda mais os riscos, sugerimos aplicar uma lista de </w:t>
      </w:r>
      <w:proofErr w:type="spellStart"/>
      <w:r w:rsidRPr="00DD2410">
        <w:rPr>
          <w:rFonts w:ascii="Google Sans" w:eastAsia="Google Sans" w:hAnsi="Google Sans" w:cs="Google Sans"/>
          <w:color w:val="353744"/>
          <w:lang w:val="pt-BR"/>
        </w:rPr>
        <w:t>IPs</w:t>
      </w:r>
      <w:proofErr w:type="spellEnd"/>
      <w:r w:rsidRPr="00DD2410">
        <w:rPr>
          <w:rFonts w:ascii="Google Sans" w:eastAsia="Google Sans" w:hAnsi="Google Sans" w:cs="Google Sans"/>
          <w:color w:val="353744"/>
          <w:lang w:val="pt-BR"/>
        </w:rPr>
        <w:t xml:space="preserve"> permitidos (</w:t>
      </w:r>
      <w:proofErr w:type="spellStart"/>
      <w:r w:rsidRPr="00DD2410">
        <w:rPr>
          <w:rFonts w:ascii="Google Sans" w:eastAsia="Google Sans" w:hAnsi="Google Sans" w:cs="Google Sans"/>
          <w:color w:val="353744"/>
          <w:lang w:val="pt-BR"/>
        </w:rPr>
        <w:t>whitelist</w:t>
      </w:r>
      <w:proofErr w:type="spellEnd"/>
      <w:r w:rsidRPr="00DD2410">
        <w:rPr>
          <w:rFonts w:ascii="Google Sans" w:eastAsia="Google Sans" w:hAnsi="Google Sans" w:cs="Google Sans"/>
          <w:color w:val="353744"/>
          <w:lang w:val="pt-BR"/>
        </w:rPr>
        <w:t>), restringindo o acesso ao banco de dados a endereços confiáveis, como os de escritórios corporativos. Essas medidas, junto com um sistema de auditoria contínua, ajudarão a detectar atividades suspeitas rapidamente e facilitarão investigações caso ocorram incidentes de segurança.</w:t>
      </w:r>
    </w:p>
    <w:p w14:paraId="3BC5194B" w14:textId="77777777" w:rsidR="00D20822" w:rsidRPr="00A23E20" w:rsidRDefault="00D20822">
      <w:pPr>
        <w:rPr>
          <w:lang w:val="pt-BR"/>
        </w:rPr>
      </w:pPr>
    </w:p>
    <w:sectPr w:rsidR="00D20822" w:rsidRPr="00A23E2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oxima Nova">
    <w:altName w:val="Tahoma"/>
    <w:charset w:val="00"/>
    <w:family w:val="auto"/>
    <w:pitch w:val="default"/>
    <w:embedRegular r:id="rId1" w:fontKey="{91559232-44BF-42D1-A87E-E71A2370B59A}"/>
    <w:embedBold r:id="rId2" w:fontKey="{F2F3FAB6-8517-4B4E-B48C-183898EA0B94}"/>
  </w:font>
  <w:font w:name="Google Sans">
    <w:altName w:val="Calibri"/>
    <w:charset w:val="00"/>
    <w:family w:val="auto"/>
    <w:pitch w:val="default"/>
    <w:embedRegular r:id="rId3" w:fontKey="{73A478B0-1D58-4057-B1C3-2DE19E69250F}"/>
    <w:embedBold r:id="rId4" w:fontKey="{0F231888-6FDA-4FAD-8A67-84A1575A293F}"/>
    <w:embedItalic r:id="rId5" w:fontKey="{18FA1D54-9ECF-40C0-B989-2938DCD6AE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9F36877-3B3F-47FD-8ABF-521DEFAEBD6D}"/>
    <w:embedBold r:id="rId7" w:fontKey="{50EA6C60-E3A4-4D65-83A1-4265182AF63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50EA513B-A3BE-4543-944E-AB3BBDFCA39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AC0BF6"/>
    <w:multiLevelType w:val="multilevel"/>
    <w:tmpl w:val="F9DC2B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D154AD3"/>
    <w:multiLevelType w:val="multilevel"/>
    <w:tmpl w:val="74F2EE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F483DF3"/>
    <w:multiLevelType w:val="multilevel"/>
    <w:tmpl w:val="BB427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71163361">
    <w:abstractNumId w:val="0"/>
  </w:num>
  <w:num w:numId="2" w16cid:durableId="1122191749">
    <w:abstractNumId w:val="1"/>
  </w:num>
  <w:num w:numId="3" w16cid:durableId="21183331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822"/>
    <w:rsid w:val="002564E8"/>
    <w:rsid w:val="00864A3B"/>
    <w:rsid w:val="00A23E20"/>
    <w:rsid w:val="00BE2DD5"/>
    <w:rsid w:val="00D20822"/>
    <w:rsid w:val="00DD2410"/>
    <w:rsid w:val="00E12823"/>
    <w:rsid w:val="00F92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9D4A6"/>
  <w15:docId w15:val="{7B3878E3-D63A-4645-9490-C11000EF1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</Pages>
  <Words>530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Rafael Costa</cp:lastModifiedBy>
  <cp:revision>2</cp:revision>
  <dcterms:created xsi:type="dcterms:W3CDTF">2024-12-04T15:57:00Z</dcterms:created>
  <dcterms:modified xsi:type="dcterms:W3CDTF">2024-12-04T17:50:00Z</dcterms:modified>
</cp:coreProperties>
</file>